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153C6" w:rsidRPr="006E3DDA" w:rsidRDefault="005153C6" w:rsidP="006E3DDA">
      <w:pPr>
        <w:autoSpaceDE w:val="0"/>
        <w:autoSpaceDN w:val="0"/>
        <w:adjustRightInd w:val="0"/>
        <w:contextualSpacing/>
        <w:jc w:val="center"/>
        <w:rPr>
          <w:rFonts w:cstheme="minorHAnsi"/>
          <w:b/>
          <w:bCs/>
          <w:sz w:val="22"/>
          <w:szCs w:val="22"/>
        </w:rPr>
      </w:pPr>
      <w:r w:rsidRPr="006E3DDA">
        <w:rPr>
          <w:rFonts w:cstheme="minorHAnsi"/>
          <w:b/>
          <w:bCs/>
          <w:sz w:val="22"/>
          <w:szCs w:val="22"/>
        </w:rPr>
        <w:t>COMUNICATO STAMPA</w:t>
      </w:r>
    </w:p>
    <w:p w:rsidR="00DD6719" w:rsidRDefault="00DD6719" w:rsidP="006E3DDA">
      <w:pPr>
        <w:spacing w:before="100" w:beforeAutospacing="1" w:after="100" w:afterAutospacing="1"/>
        <w:contextualSpacing/>
        <w:jc w:val="center"/>
        <w:rPr>
          <w:rFonts w:eastAsia="Times New Roman" w:cstheme="minorHAnsi"/>
          <w:b/>
          <w:bCs/>
          <w:sz w:val="22"/>
          <w:szCs w:val="22"/>
          <w:lang w:eastAsia="it-IT"/>
        </w:rPr>
      </w:pPr>
      <w:r w:rsidRPr="006E3DDA">
        <w:rPr>
          <w:rFonts w:eastAsia="Times New Roman" w:cstheme="minorHAnsi"/>
          <w:b/>
          <w:bCs/>
          <w:sz w:val="22"/>
          <w:szCs w:val="22"/>
          <w:lang w:eastAsia="it-IT"/>
        </w:rPr>
        <w:t>Comitato ristretto su deficit 2024 Asl Lanciano Vasto</w:t>
      </w:r>
      <w:r w:rsidR="00FB750C">
        <w:rPr>
          <w:rFonts w:eastAsia="Times New Roman" w:cstheme="minorHAnsi"/>
          <w:b/>
          <w:bCs/>
          <w:sz w:val="22"/>
          <w:szCs w:val="22"/>
          <w:lang w:eastAsia="it-IT"/>
        </w:rPr>
        <w:t>-C</w:t>
      </w:r>
      <w:r w:rsidRPr="006E3DDA">
        <w:rPr>
          <w:rFonts w:eastAsia="Times New Roman" w:cstheme="minorHAnsi"/>
          <w:b/>
          <w:bCs/>
          <w:sz w:val="22"/>
          <w:szCs w:val="22"/>
          <w:lang w:eastAsia="it-IT"/>
        </w:rPr>
        <w:t>hieti</w:t>
      </w:r>
      <w:r w:rsidR="00FB750C">
        <w:rPr>
          <w:rFonts w:eastAsia="Times New Roman" w:cstheme="minorHAnsi"/>
          <w:b/>
          <w:bCs/>
          <w:sz w:val="22"/>
          <w:szCs w:val="22"/>
          <w:lang w:eastAsia="it-IT"/>
        </w:rPr>
        <w:t>: “Il divario del 2024 è più alto delle</w:t>
      </w:r>
      <w:r w:rsidRPr="006E3DDA">
        <w:rPr>
          <w:rFonts w:eastAsia="Times New Roman" w:cstheme="minorHAnsi"/>
          <w:b/>
          <w:bCs/>
          <w:sz w:val="22"/>
          <w:szCs w:val="22"/>
          <w:lang w:eastAsia="it-IT"/>
        </w:rPr>
        <w:t xml:space="preserve"> previsioni inziali</w:t>
      </w:r>
      <w:r w:rsidR="00FB750C">
        <w:rPr>
          <w:rFonts w:eastAsia="Times New Roman" w:cstheme="minorHAnsi"/>
          <w:b/>
          <w:bCs/>
          <w:sz w:val="22"/>
          <w:szCs w:val="22"/>
          <w:lang w:eastAsia="it-IT"/>
        </w:rPr>
        <w:t>”</w:t>
      </w:r>
    </w:p>
    <w:p w:rsidR="006E3DDA" w:rsidRPr="00DD6719" w:rsidRDefault="006E3DDA" w:rsidP="006E3DDA">
      <w:pPr>
        <w:spacing w:before="100" w:beforeAutospacing="1" w:after="100" w:afterAutospacing="1"/>
        <w:contextualSpacing/>
        <w:jc w:val="center"/>
        <w:rPr>
          <w:rFonts w:eastAsia="Times New Roman" w:cstheme="minorHAnsi"/>
          <w:b/>
          <w:bCs/>
          <w:sz w:val="22"/>
          <w:szCs w:val="22"/>
          <w:lang w:eastAsia="it-IT"/>
        </w:rPr>
      </w:pPr>
    </w:p>
    <w:p w:rsidR="00DD6719" w:rsidRDefault="006E3DDA" w:rsidP="006E3DDA">
      <w:pPr>
        <w:spacing w:before="100" w:beforeAutospacing="1" w:after="100" w:afterAutospacing="1"/>
        <w:contextualSpacing/>
        <w:jc w:val="both"/>
        <w:rPr>
          <w:rFonts w:eastAsia="Times New Roman" w:cstheme="minorHAnsi"/>
          <w:sz w:val="22"/>
          <w:szCs w:val="22"/>
          <w:lang w:eastAsia="it-IT"/>
        </w:rPr>
      </w:pPr>
      <w:r w:rsidRPr="006E3DDA">
        <w:rPr>
          <w:rFonts w:eastAsia="Times New Roman" w:cstheme="minorHAnsi"/>
          <w:sz w:val="22"/>
          <w:szCs w:val="22"/>
          <w:lang w:eastAsia="it-IT"/>
        </w:rPr>
        <w:t>“</w:t>
      </w:r>
      <w:r w:rsidR="00DD6719" w:rsidRPr="00DD6719">
        <w:rPr>
          <w:rFonts w:eastAsia="Times New Roman" w:cstheme="minorHAnsi"/>
          <w:sz w:val="22"/>
          <w:szCs w:val="22"/>
          <w:lang w:eastAsia="it-IT"/>
        </w:rPr>
        <w:t>Nelle stesse ore in cui si teneva</w:t>
      </w:r>
      <w:r w:rsidRPr="006E3DDA">
        <w:rPr>
          <w:rFonts w:eastAsia="Times New Roman" w:cstheme="minorHAnsi"/>
          <w:sz w:val="22"/>
          <w:szCs w:val="22"/>
          <w:lang w:eastAsia="it-IT"/>
        </w:rPr>
        <w:t xml:space="preserve">, </w:t>
      </w:r>
      <w:r w:rsidR="00DD6719" w:rsidRPr="00DD6719">
        <w:rPr>
          <w:rFonts w:eastAsia="Times New Roman" w:cstheme="minorHAnsi"/>
          <w:sz w:val="22"/>
          <w:szCs w:val="22"/>
          <w:lang w:eastAsia="it-IT"/>
        </w:rPr>
        <w:t>ad Atessa</w:t>
      </w:r>
      <w:r w:rsidRPr="006E3DDA">
        <w:rPr>
          <w:rFonts w:eastAsia="Times New Roman" w:cstheme="minorHAnsi"/>
          <w:sz w:val="22"/>
          <w:szCs w:val="22"/>
          <w:lang w:eastAsia="it-IT"/>
        </w:rPr>
        <w:t>,</w:t>
      </w:r>
      <w:r w:rsidR="00DD6719" w:rsidRPr="00DD6719">
        <w:rPr>
          <w:rFonts w:eastAsia="Times New Roman" w:cstheme="minorHAnsi"/>
          <w:sz w:val="22"/>
          <w:szCs w:val="22"/>
          <w:lang w:eastAsia="it-IT"/>
        </w:rPr>
        <w:t xml:space="preserve"> l’ultima Conferenza stampa del Comitato ristretto dei Sindaci della ASL 02, veniva approvato il “Piano di Razionalizzazione della spesa della ASL Lanciano Vasto Chieti”, di cui erano state annunciate solo le principali azioni per tentare di diminuire il deficit strutturale e in continua crescita esponenziale dell’Azienda. Tenuto conto che nel 2023 si era registrato un disavanzo di 41 milioni di euro e che l’annunciato piano di razionaliz</w:t>
      </w:r>
      <w:r w:rsidRPr="006E3DDA">
        <w:rPr>
          <w:rFonts w:eastAsia="Times New Roman" w:cstheme="minorHAnsi"/>
          <w:sz w:val="22"/>
          <w:szCs w:val="22"/>
          <w:lang w:eastAsia="it-IT"/>
        </w:rPr>
        <w:t>z</w:t>
      </w:r>
      <w:r w:rsidR="00DD6719" w:rsidRPr="00DD6719">
        <w:rPr>
          <w:rFonts w:eastAsia="Times New Roman" w:cstheme="minorHAnsi"/>
          <w:sz w:val="22"/>
          <w:szCs w:val="22"/>
          <w:lang w:eastAsia="it-IT"/>
        </w:rPr>
        <w:t xml:space="preserve">azione prevedeva una riduzione di spesa di circa 20 milioni di euro, il Comitato aveva stimato in 21 milioni di euro il </w:t>
      </w:r>
      <w:proofErr w:type="spellStart"/>
      <w:r w:rsidR="00DD6719" w:rsidRPr="00DD6719">
        <w:rPr>
          <w:rFonts w:eastAsia="Times New Roman" w:cstheme="minorHAnsi"/>
          <w:sz w:val="22"/>
          <w:szCs w:val="22"/>
          <w:lang w:eastAsia="it-IT"/>
        </w:rPr>
        <w:t>defict</w:t>
      </w:r>
      <w:proofErr w:type="spellEnd"/>
      <w:r w:rsidR="00DD6719" w:rsidRPr="00DD6719">
        <w:rPr>
          <w:rFonts w:eastAsia="Times New Roman" w:cstheme="minorHAnsi"/>
          <w:sz w:val="22"/>
          <w:szCs w:val="22"/>
          <w:lang w:eastAsia="it-IT"/>
        </w:rPr>
        <w:t xml:space="preserve"> anche per l’anno 2024. Ebbene, invece, il deficit ufficiale stimato dalla stessa ASL – in via tendenziale - per il 2024 </w:t>
      </w:r>
      <w:proofErr w:type="spellStart"/>
      <w:r w:rsidR="00DD6719" w:rsidRPr="00DD6719">
        <w:rPr>
          <w:rFonts w:eastAsia="Times New Roman" w:cstheme="minorHAnsi"/>
          <w:sz w:val="22"/>
          <w:szCs w:val="22"/>
          <w:lang w:eastAsia="it-IT"/>
        </w:rPr>
        <w:t>sara</w:t>
      </w:r>
      <w:proofErr w:type="spellEnd"/>
      <w:r w:rsidR="00DD6719" w:rsidRPr="00DD6719">
        <w:rPr>
          <w:rFonts w:eastAsia="Times New Roman" w:cstheme="minorHAnsi"/>
          <w:sz w:val="22"/>
          <w:szCs w:val="22"/>
          <w:lang w:eastAsia="it-IT"/>
        </w:rPr>
        <w:t>̀ di ben 34,6 milioni di euro</w:t>
      </w:r>
      <w:r w:rsidRPr="006E3DDA">
        <w:rPr>
          <w:rFonts w:eastAsia="Times New Roman" w:cstheme="minorHAnsi"/>
          <w:sz w:val="22"/>
          <w:szCs w:val="22"/>
          <w:lang w:eastAsia="it-IT"/>
        </w:rPr>
        <w:t>, diventando strutturale come avevamo denunciato</w:t>
      </w:r>
      <w:r>
        <w:rPr>
          <w:rFonts w:eastAsia="Times New Roman" w:cstheme="minorHAnsi"/>
          <w:sz w:val="22"/>
          <w:szCs w:val="22"/>
          <w:lang w:eastAsia="it-IT"/>
        </w:rPr>
        <w:t>”, così i quattro componenti del Comitato ristretto dei sindaci, Diego Ferrara, Giulio Borrelli, Francesco Menna e Massimo Tiberini.</w:t>
      </w:r>
    </w:p>
    <w:p w:rsidR="00FB750C" w:rsidRPr="00DD6719" w:rsidRDefault="00FB750C" w:rsidP="006E3DDA">
      <w:pPr>
        <w:spacing w:before="100" w:beforeAutospacing="1" w:after="100" w:afterAutospacing="1"/>
        <w:contextualSpacing/>
        <w:jc w:val="both"/>
        <w:rPr>
          <w:rFonts w:eastAsia="Times New Roman" w:cstheme="minorHAnsi"/>
          <w:sz w:val="22"/>
          <w:szCs w:val="22"/>
          <w:lang w:eastAsia="it-IT"/>
        </w:rPr>
      </w:pPr>
    </w:p>
    <w:p w:rsidR="006E3DDA" w:rsidRDefault="006E3DDA" w:rsidP="006E3DDA">
      <w:pPr>
        <w:spacing w:before="100" w:beforeAutospacing="1" w:after="100" w:afterAutospacing="1"/>
        <w:contextualSpacing/>
        <w:jc w:val="both"/>
        <w:rPr>
          <w:rFonts w:eastAsia="Times New Roman" w:cstheme="minorHAnsi"/>
          <w:sz w:val="22"/>
          <w:szCs w:val="22"/>
          <w:lang w:eastAsia="it-IT"/>
        </w:rPr>
      </w:pPr>
      <w:r>
        <w:rPr>
          <w:rFonts w:eastAsia="Times New Roman" w:cstheme="minorHAnsi"/>
          <w:sz w:val="22"/>
          <w:szCs w:val="22"/>
          <w:lang w:eastAsia="it-IT"/>
        </w:rPr>
        <w:t>“</w:t>
      </w:r>
      <w:r w:rsidR="00DD6719" w:rsidRPr="00DD6719">
        <w:rPr>
          <w:rFonts w:eastAsia="Times New Roman" w:cstheme="minorHAnsi"/>
          <w:sz w:val="22"/>
          <w:szCs w:val="22"/>
          <w:lang w:eastAsia="it-IT"/>
        </w:rPr>
        <w:t>Il deficit calcolato dalla ASL per il 2024 si attesta</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infatti</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a circa 55 milioni di euro (maggiore di ben 14 milioni di euro rispetto al 2023, in cui era stato appunto di 41 milioni), confermando anche per quest’anno la sua crescita esponenziale</w:t>
      </w:r>
      <w:r>
        <w:rPr>
          <w:rFonts w:eastAsia="Times New Roman" w:cstheme="minorHAnsi"/>
          <w:sz w:val="22"/>
          <w:szCs w:val="22"/>
          <w:lang w:eastAsia="it-IT"/>
        </w:rPr>
        <w:t xml:space="preserve"> – illustrano i sindaci Asl </w:t>
      </w:r>
      <w:proofErr w:type="gramStart"/>
      <w:r>
        <w:rPr>
          <w:rFonts w:eastAsia="Times New Roman" w:cstheme="minorHAnsi"/>
          <w:sz w:val="22"/>
          <w:szCs w:val="22"/>
          <w:lang w:eastAsia="it-IT"/>
        </w:rPr>
        <w:t>- .</w:t>
      </w:r>
      <w:proofErr w:type="gramEnd"/>
      <w:r>
        <w:rPr>
          <w:rFonts w:eastAsia="Times New Roman" w:cstheme="minorHAnsi"/>
          <w:sz w:val="22"/>
          <w:szCs w:val="22"/>
          <w:lang w:eastAsia="it-IT"/>
        </w:rPr>
        <w:t xml:space="preserve"> </w:t>
      </w:r>
      <w:r w:rsidR="00DD6719" w:rsidRPr="00DD6719">
        <w:rPr>
          <w:rFonts w:eastAsia="Times New Roman" w:cstheme="minorHAnsi"/>
          <w:sz w:val="22"/>
          <w:szCs w:val="22"/>
          <w:lang w:eastAsia="it-IT"/>
        </w:rPr>
        <w:t xml:space="preserve">Con i previsti tagli di 20,4 milioni di euro si prevede, dunque, di contenere il deficit 2024 nei citati 34,6 milioni di euro. </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 xml:space="preserve">I circa 20 milioni di tagli </w:t>
      </w:r>
      <w:r>
        <w:rPr>
          <w:rFonts w:eastAsia="Times New Roman" w:cstheme="minorHAnsi"/>
          <w:sz w:val="22"/>
          <w:szCs w:val="22"/>
          <w:lang w:eastAsia="it-IT"/>
        </w:rPr>
        <w:t xml:space="preserve">si ripercuoteranno sulla comunità perché </w:t>
      </w:r>
      <w:r w:rsidR="00DD6719" w:rsidRPr="00DD6719">
        <w:rPr>
          <w:rFonts w:eastAsia="Times New Roman" w:cstheme="minorHAnsi"/>
          <w:sz w:val="22"/>
          <w:szCs w:val="22"/>
          <w:lang w:eastAsia="it-IT"/>
        </w:rPr>
        <w:t>riguarderanno: per 12 milioni di euro i farmaci, emoderivati e ossigenoterapia domiciliare</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per 4,5 milioni di euro</w:t>
      </w:r>
      <w:r>
        <w:rPr>
          <w:rFonts w:eastAsia="Times New Roman" w:cstheme="minorHAnsi"/>
          <w:sz w:val="22"/>
          <w:szCs w:val="22"/>
          <w:lang w:eastAsia="it-IT"/>
        </w:rPr>
        <w:t xml:space="preserve"> i</w:t>
      </w:r>
      <w:r w:rsidR="00DD6719" w:rsidRPr="00DD6719">
        <w:rPr>
          <w:rFonts w:eastAsia="Times New Roman" w:cstheme="minorHAnsi"/>
          <w:sz w:val="22"/>
          <w:szCs w:val="22"/>
          <w:lang w:eastAsia="it-IT"/>
        </w:rPr>
        <w:t xml:space="preserve"> dispositivi medici</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per 3,9 milioni di euro</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costi servizi esterni</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Sostanzialmente con il piano di razionalizzazione da 20 milioni di euro non si riduce</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 xml:space="preserve">in maniera significativa il vecchio e </w:t>
      </w:r>
      <w:proofErr w:type="spellStart"/>
      <w:r w:rsidR="00DD6719" w:rsidRPr="00DD6719">
        <w:rPr>
          <w:rFonts w:eastAsia="Times New Roman" w:cstheme="minorHAnsi"/>
          <w:sz w:val="22"/>
          <w:szCs w:val="22"/>
          <w:lang w:eastAsia="it-IT"/>
        </w:rPr>
        <w:t>gia</w:t>
      </w:r>
      <w:proofErr w:type="spellEnd"/>
      <w:r w:rsidR="00DD6719" w:rsidRPr="00DD6719">
        <w:rPr>
          <w:rFonts w:eastAsia="Times New Roman" w:cstheme="minorHAnsi"/>
          <w:sz w:val="22"/>
          <w:szCs w:val="22"/>
          <w:lang w:eastAsia="it-IT"/>
        </w:rPr>
        <w:t xml:space="preserve">̀ alto deficit, ma solo le nuove e pesanti perdite previste per il 2024 (di 14 milioni). </w:t>
      </w:r>
      <w:r>
        <w:rPr>
          <w:rFonts w:eastAsia="Times New Roman" w:cstheme="minorHAnsi"/>
          <w:sz w:val="22"/>
          <w:szCs w:val="22"/>
          <w:lang w:eastAsia="it-IT"/>
        </w:rPr>
        <w:t>Peraltro, n</w:t>
      </w:r>
      <w:r w:rsidR="00DD6719" w:rsidRPr="00DD6719">
        <w:rPr>
          <w:rFonts w:eastAsia="Times New Roman" w:cstheme="minorHAnsi"/>
          <w:sz w:val="22"/>
          <w:szCs w:val="22"/>
          <w:lang w:eastAsia="it-IT"/>
        </w:rPr>
        <w:t>eanche quest’anno si riesce ad aggredire: il costo della mobilità passiva che rimane a – 69 milioni di euro</w:t>
      </w:r>
      <w:r>
        <w:rPr>
          <w:rFonts w:eastAsia="Times New Roman" w:cstheme="minorHAnsi"/>
          <w:sz w:val="22"/>
          <w:szCs w:val="22"/>
          <w:lang w:eastAsia="it-IT"/>
        </w:rPr>
        <w:t>;</w:t>
      </w:r>
      <w:r w:rsidR="00DD6719" w:rsidRPr="00DD6719">
        <w:rPr>
          <w:rFonts w:eastAsia="Times New Roman" w:cstheme="minorHAnsi"/>
          <w:sz w:val="22"/>
          <w:szCs w:val="22"/>
          <w:lang w:eastAsia="it-IT"/>
        </w:rPr>
        <w:t xml:space="preserve"> il costo dell’acquisto di prestazioni da privato, che nel 2024 risulta </w:t>
      </w:r>
      <w:r>
        <w:rPr>
          <w:rFonts w:eastAsia="Times New Roman" w:cstheme="minorHAnsi"/>
          <w:sz w:val="22"/>
          <w:szCs w:val="22"/>
          <w:lang w:eastAsia="it-IT"/>
        </w:rPr>
        <w:t xml:space="preserve">pari a </w:t>
      </w:r>
      <w:r w:rsidR="00DD6719" w:rsidRPr="00DD6719">
        <w:rPr>
          <w:rFonts w:eastAsia="Times New Roman" w:cstheme="minorHAnsi"/>
          <w:sz w:val="22"/>
          <w:szCs w:val="22"/>
          <w:lang w:eastAsia="it-IT"/>
        </w:rPr>
        <w:t>114 milioni di euro (si prevede solo con una manovra correttiva di 2,8 milioni di euro in meno, peraltro derivanti da una mera operazione contabile e non di esame</w:t>
      </w:r>
      <w:r w:rsidRPr="006E3DDA">
        <w:rPr>
          <w:rFonts w:eastAsia="Times New Roman" w:cstheme="minorHAnsi"/>
          <w:sz w:val="22"/>
          <w:szCs w:val="22"/>
          <w:lang w:eastAsia="it-IT"/>
        </w:rPr>
        <w:t xml:space="preserve"> </w:t>
      </w:r>
      <w:r w:rsidRPr="00DD6719">
        <w:rPr>
          <w:rFonts w:eastAsia="Times New Roman" w:cstheme="minorHAnsi"/>
          <w:sz w:val="22"/>
          <w:szCs w:val="22"/>
          <w:lang w:eastAsia="it-IT"/>
        </w:rPr>
        <w:t>dell’appropriatezza delle prestazioni)</w:t>
      </w:r>
      <w:r>
        <w:rPr>
          <w:rFonts w:eastAsia="Times New Roman" w:cstheme="minorHAnsi"/>
          <w:sz w:val="22"/>
          <w:szCs w:val="22"/>
          <w:lang w:eastAsia="it-IT"/>
        </w:rPr>
        <w:t xml:space="preserve">; </w:t>
      </w:r>
      <w:r w:rsidR="00DD6719" w:rsidRPr="00DD6719">
        <w:rPr>
          <w:rFonts w:eastAsia="Times New Roman" w:cstheme="minorHAnsi"/>
          <w:sz w:val="22"/>
          <w:szCs w:val="22"/>
          <w:lang w:eastAsia="it-IT"/>
        </w:rPr>
        <w:t>il costo per l’acquisto di servizi sanitari e non, che ammonta complessivamente a 446,5 milioni di euro</w:t>
      </w:r>
      <w:r>
        <w:rPr>
          <w:rFonts w:eastAsia="Times New Roman" w:cstheme="minorHAnsi"/>
          <w:sz w:val="22"/>
          <w:szCs w:val="22"/>
          <w:lang w:eastAsia="it-IT"/>
        </w:rPr>
        <w:t xml:space="preserve">. </w:t>
      </w:r>
    </w:p>
    <w:p w:rsidR="006E3DDA" w:rsidRDefault="00DD6719" w:rsidP="006E3DDA">
      <w:pPr>
        <w:spacing w:before="100" w:beforeAutospacing="1" w:after="100" w:afterAutospacing="1"/>
        <w:contextualSpacing/>
        <w:jc w:val="both"/>
        <w:rPr>
          <w:rFonts w:eastAsia="Times New Roman" w:cstheme="minorHAnsi"/>
          <w:sz w:val="22"/>
          <w:szCs w:val="22"/>
          <w:lang w:eastAsia="it-IT"/>
        </w:rPr>
      </w:pPr>
      <w:r w:rsidRPr="00DD6719">
        <w:rPr>
          <w:rFonts w:eastAsia="Times New Roman" w:cstheme="minorHAnsi"/>
          <w:sz w:val="22"/>
          <w:szCs w:val="22"/>
          <w:lang w:eastAsia="it-IT"/>
        </w:rPr>
        <w:t>Registriamo, invece, con favore la previsione dell’</w:t>
      </w:r>
      <w:proofErr w:type="spellStart"/>
      <w:r w:rsidRPr="00DD6719">
        <w:rPr>
          <w:rFonts w:eastAsia="Times New Roman" w:cstheme="minorHAnsi"/>
          <w:sz w:val="22"/>
          <w:szCs w:val="22"/>
          <w:lang w:eastAsia="it-IT"/>
        </w:rPr>
        <w:t>ottimizazzione</w:t>
      </w:r>
      <w:proofErr w:type="spellEnd"/>
      <w:r w:rsidRPr="00DD6719">
        <w:rPr>
          <w:rFonts w:eastAsia="Times New Roman" w:cstheme="minorHAnsi"/>
          <w:sz w:val="22"/>
          <w:szCs w:val="22"/>
          <w:lang w:eastAsia="it-IT"/>
        </w:rPr>
        <w:t xml:space="preserve"> dell’utilizzo delle camere operatorie e il prolungamento dell’orario di apertura delle stesse, che hanno costi fissi altissimi, indipendentemente dall’</w:t>
      </w:r>
      <w:proofErr w:type="spellStart"/>
      <w:r w:rsidRPr="00DD6719">
        <w:rPr>
          <w:rFonts w:eastAsia="Times New Roman" w:cstheme="minorHAnsi"/>
          <w:sz w:val="22"/>
          <w:szCs w:val="22"/>
          <w:lang w:eastAsia="it-IT"/>
        </w:rPr>
        <w:t>attivita</w:t>
      </w:r>
      <w:proofErr w:type="spellEnd"/>
      <w:r w:rsidRPr="00DD6719">
        <w:rPr>
          <w:rFonts w:eastAsia="Times New Roman" w:cstheme="minorHAnsi"/>
          <w:sz w:val="22"/>
          <w:szCs w:val="22"/>
          <w:lang w:eastAsia="it-IT"/>
        </w:rPr>
        <w:t xml:space="preserve">̀ effettivamente erogata (numero pazienti operati). </w:t>
      </w:r>
      <w:proofErr w:type="spellStart"/>
      <w:r w:rsidRPr="00DD6719">
        <w:rPr>
          <w:rFonts w:eastAsia="Times New Roman" w:cstheme="minorHAnsi"/>
          <w:sz w:val="22"/>
          <w:szCs w:val="22"/>
          <w:lang w:eastAsia="it-IT"/>
        </w:rPr>
        <w:t>Cio</w:t>
      </w:r>
      <w:proofErr w:type="spellEnd"/>
      <w:r w:rsidRPr="00DD6719">
        <w:rPr>
          <w:rFonts w:eastAsia="Times New Roman" w:cstheme="minorHAnsi"/>
          <w:sz w:val="22"/>
          <w:szCs w:val="22"/>
          <w:lang w:eastAsia="it-IT"/>
        </w:rPr>
        <w:t xml:space="preserve">̀ ci si augura possa contribuire ad accorciare le liste di attesa e ridurre in futuro la mobilità passiva. </w:t>
      </w:r>
      <w:r w:rsidR="006E3DDA">
        <w:rPr>
          <w:rFonts w:eastAsia="Times New Roman" w:cstheme="minorHAnsi"/>
          <w:sz w:val="22"/>
          <w:szCs w:val="22"/>
          <w:lang w:eastAsia="it-IT"/>
        </w:rPr>
        <w:t xml:space="preserve"> </w:t>
      </w:r>
      <w:r w:rsidRPr="00DD6719">
        <w:rPr>
          <w:rFonts w:eastAsia="Times New Roman" w:cstheme="minorHAnsi"/>
          <w:sz w:val="22"/>
          <w:szCs w:val="22"/>
          <w:lang w:eastAsia="it-IT"/>
        </w:rPr>
        <w:t xml:space="preserve">Dobbiamo contemporaneamente registrare </w:t>
      </w:r>
      <w:r w:rsidR="006E3DDA">
        <w:rPr>
          <w:rFonts w:eastAsia="Times New Roman" w:cstheme="minorHAnsi"/>
          <w:sz w:val="22"/>
          <w:szCs w:val="22"/>
          <w:lang w:eastAsia="it-IT"/>
        </w:rPr>
        <w:t xml:space="preserve">e </w:t>
      </w:r>
      <w:r w:rsidRPr="00DD6719">
        <w:rPr>
          <w:rFonts w:eastAsia="Times New Roman" w:cstheme="minorHAnsi"/>
          <w:sz w:val="22"/>
          <w:szCs w:val="22"/>
          <w:lang w:eastAsia="it-IT"/>
        </w:rPr>
        <w:t>con nostro grande rammarico</w:t>
      </w:r>
      <w:r w:rsidR="006E3DDA">
        <w:rPr>
          <w:rFonts w:eastAsia="Times New Roman" w:cstheme="minorHAnsi"/>
          <w:sz w:val="22"/>
          <w:szCs w:val="22"/>
          <w:lang w:eastAsia="it-IT"/>
        </w:rPr>
        <w:t xml:space="preserve">, </w:t>
      </w:r>
      <w:r w:rsidRPr="00DD6719">
        <w:rPr>
          <w:rFonts w:eastAsia="Times New Roman" w:cstheme="minorHAnsi"/>
          <w:sz w:val="22"/>
          <w:szCs w:val="22"/>
          <w:lang w:eastAsia="it-IT"/>
        </w:rPr>
        <w:t>che nonostante i numerosi richiami della Corte dei Conti sullo sforamento dei tetti di spesa rivolti nei confronti della Regione Abruzzo (che fin dal giudizio di parificazione del 2021 aveva assicurato il tempestivo avvio, unitamente alle ASL, di un’</w:t>
      </w:r>
      <w:proofErr w:type="spellStart"/>
      <w:r w:rsidRPr="00DD6719">
        <w:rPr>
          <w:rFonts w:eastAsia="Times New Roman" w:cstheme="minorHAnsi"/>
          <w:sz w:val="22"/>
          <w:szCs w:val="22"/>
          <w:lang w:eastAsia="it-IT"/>
        </w:rPr>
        <w:t>attivita</w:t>
      </w:r>
      <w:proofErr w:type="spellEnd"/>
      <w:r w:rsidRPr="00DD6719">
        <w:rPr>
          <w:rFonts w:eastAsia="Times New Roman" w:cstheme="minorHAnsi"/>
          <w:sz w:val="22"/>
          <w:szCs w:val="22"/>
          <w:lang w:eastAsia="it-IT"/>
        </w:rPr>
        <w:t>̀ di monitoraggio e riduzione delle principali e segnalate voci di spesa) solo ora</w:t>
      </w:r>
      <w:r w:rsidR="006E3DDA">
        <w:rPr>
          <w:rFonts w:eastAsia="Times New Roman" w:cstheme="minorHAnsi"/>
          <w:sz w:val="22"/>
          <w:szCs w:val="22"/>
          <w:lang w:eastAsia="it-IT"/>
        </w:rPr>
        <w:t xml:space="preserve">, </w:t>
      </w:r>
      <w:r w:rsidRPr="00DD6719">
        <w:rPr>
          <w:rFonts w:eastAsia="Times New Roman" w:cstheme="minorHAnsi"/>
          <w:sz w:val="22"/>
          <w:szCs w:val="22"/>
          <w:lang w:eastAsia="it-IT"/>
        </w:rPr>
        <w:t>a disastro avvenuto qualcosa si inizia a muovere. Il governo della dinamica dei costi di produzione impone l’urgente adeguamento (o meglio, nel caso della regione Abruzzo, la creazione) di un efficiente e efficace sistema di monitoraggio, controllo e reporting delle prestazioni erogate, anche di natura finanziaria e contabile. Non si pu</w:t>
      </w:r>
      <w:r w:rsidR="006E3DDA">
        <w:rPr>
          <w:rFonts w:eastAsia="Times New Roman" w:cstheme="minorHAnsi"/>
          <w:sz w:val="22"/>
          <w:szCs w:val="22"/>
          <w:lang w:eastAsia="it-IT"/>
        </w:rPr>
        <w:t>ò</w:t>
      </w:r>
      <w:r w:rsidRPr="00DD6719">
        <w:rPr>
          <w:rFonts w:eastAsia="Times New Roman" w:cstheme="minorHAnsi"/>
          <w:sz w:val="22"/>
          <w:szCs w:val="22"/>
          <w:lang w:eastAsia="it-IT"/>
        </w:rPr>
        <w:t xml:space="preserve"> conoscere solo a metà, o a fine anno, </w:t>
      </w:r>
      <w:r w:rsidR="006E3DDA">
        <w:rPr>
          <w:rFonts w:eastAsia="Times New Roman" w:cstheme="minorHAnsi"/>
          <w:sz w:val="22"/>
          <w:szCs w:val="22"/>
          <w:lang w:eastAsia="it-IT"/>
        </w:rPr>
        <w:t xml:space="preserve">quando </w:t>
      </w:r>
      <w:r w:rsidRPr="00DD6719">
        <w:rPr>
          <w:rFonts w:eastAsia="Times New Roman" w:cstheme="minorHAnsi"/>
          <w:sz w:val="22"/>
          <w:szCs w:val="22"/>
          <w:lang w:eastAsia="it-IT"/>
        </w:rPr>
        <w:t xml:space="preserve">si sono sforati i tetti di spesa del bilancio preventivo. Il sistema di monitoraggio e reporting finora è mancato a livello regionale e sembra mancare anche nel piano di razionalizzazione. </w:t>
      </w:r>
      <w:r w:rsidR="006E3DDA">
        <w:rPr>
          <w:rFonts w:eastAsia="Times New Roman" w:cstheme="minorHAnsi"/>
          <w:sz w:val="22"/>
          <w:szCs w:val="22"/>
          <w:lang w:eastAsia="it-IT"/>
        </w:rPr>
        <w:t xml:space="preserve"> </w:t>
      </w:r>
    </w:p>
    <w:p w:rsidR="00DD6719" w:rsidRDefault="00DD6719" w:rsidP="006E3DDA">
      <w:pPr>
        <w:spacing w:before="100" w:beforeAutospacing="1" w:after="100" w:afterAutospacing="1"/>
        <w:contextualSpacing/>
        <w:jc w:val="both"/>
        <w:rPr>
          <w:rFonts w:eastAsia="Times New Roman" w:cstheme="minorHAnsi"/>
          <w:sz w:val="22"/>
          <w:szCs w:val="22"/>
          <w:lang w:eastAsia="it-IT"/>
        </w:rPr>
      </w:pPr>
      <w:r w:rsidRPr="00DD6719">
        <w:rPr>
          <w:rFonts w:eastAsia="Times New Roman" w:cstheme="minorHAnsi"/>
          <w:sz w:val="22"/>
          <w:szCs w:val="22"/>
          <w:lang w:eastAsia="it-IT"/>
        </w:rPr>
        <w:t xml:space="preserve">Crediamo di non dover aggiungere altro rispetto a quanto </w:t>
      </w:r>
      <w:proofErr w:type="spellStart"/>
      <w:r w:rsidRPr="00DD6719">
        <w:rPr>
          <w:rFonts w:eastAsia="Times New Roman" w:cstheme="minorHAnsi"/>
          <w:sz w:val="22"/>
          <w:szCs w:val="22"/>
          <w:lang w:eastAsia="it-IT"/>
        </w:rPr>
        <w:t>gia</w:t>
      </w:r>
      <w:proofErr w:type="spellEnd"/>
      <w:r w:rsidRPr="00DD6719">
        <w:rPr>
          <w:rFonts w:eastAsia="Times New Roman" w:cstheme="minorHAnsi"/>
          <w:sz w:val="22"/>
          <w:szCs w:val="22"/>
          <w:lang w:eastAsia="it-IT"/>
        </w:rPr>
        <w:t>̀ rappresentato nel corso dell’ultima conferenza stampa, se non invitare nuovamente i sindaci di centro destra del nostro territorio a dismettere le loro vesti di difensori d’ufficio dell’indifendibile. Alleghiamo le tabelle estratte dal piano di razionalizzazione della ASL, a testimonianza e documentazione di quanto da noi affermato. I nostri pareri e giudizi, infatti, non sono di natura politica, ma suffragati unicamente da dati e motivazioni oggettivi</w:t>
      </w:r>
      <w:r w:rsidR="00FB750C">
        <w:rPr>
          <w:rFonts w:eastAsia="Times New Roman" w:cstheme="minorHAnsi"/>
          <w:sz w:val="22"/>
          <w:szCs w:val="22"/>
          <w:lang w:eastAsia="it-IT"/>
        </w:rPr>
        <w:t>”</w:t>
      </w:r>
      <w:r w:rsidRPr="00DD6719">
        <w:rPr>
          <w:rFonts w:eastAsia="Times New Roman" w:cstheme="minorHAnsi"/>
          <w:sz w:val="22"/>
          <w:szCs w:val="22"/>
          <w:lang w:eastAsia="it-IT"/>
        </w:rPr>
        <w:t xml:space="preserve">. </w:t>
      </w:r>
    </w:p>
    <w:p w:rsidR="00FB750C" w:rsidRDefault="00FB750C" w:rsidP="006E3DDA">
      <w:pPr>
        <w:spacing w:before="100" w:beforeAutospacing="1" w:after="100" w:afterAutospacing="1"/>
        <w:contextualSpacing/>
        <w:jc w:val="both"/>
        <w:rPr>
          <w:rFonts w:eastAsia="Times New Roman" w:cstheme="minorHAnsi"/>
          <w:sz w:val="22"/>
          <w:szCs w:val="22"/>
          <w:lang w:eastAsia="it-IT"/>
        </w:rPr>
      </w:pPr>
    </w:p>
    <w:p w:rsidR="006E3DDA" w:rsidRPr="00DD6719" w:rsidRDefault="006E3DDA" w:rsidP="006E3DDA">
      <w:pPr>
        <w:spacing w:before="100" w:beforeAutospacing="1" w:after="100" w:afterAutospacing="1"/>
        <w:contextualSpacing/>
        <w:jc w:val="center"/>
        <w:rPr>
          <w:rFonts w:eastAsia="Times New Roman" w:cstheme="minorHAnsi"/>
          <w:sz w:val="22"/>
          <w:szCs w:val="22"/>
          <w:lang w:eastAsia="it-IT"/>
        </w:rPr>
      </w:pPr>
      <w:r w:rsidRPr="006E3DDA">
        <w:rPr>
          <w:rFonts w:eastAsia="Times New Roman" w:cstheme="minorHAnsi"/>
          <w:sz w:val="22"/>
          <w:szCs w:val="22"/>
          <w:lang w:eastAsia="it-IT"/>
        </w:rPr>
        <w:drawing>
          <wp:inline distT="0" distB="0" distL="0" distR="0" wp14:anchorId="41ABFDCC" wp14:editId="6B8BC3E7">
            <wp:extent cx="5139225" cy="1672459"/>
            <wp:effectExtent l="0" t="0" r="4445" b="4445"/>
            <wp:docPr id="7637866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86615" name=""/>
                    <pic:cNvPicPr/>
                  </pic:nvPicPr>
                  <pic:blipFill>
                    <a:blip r:embed="rId7"/>
                    <a:stretch>
                      <a:fillRect/>
                    </a:stretch>
                  </pic:blipFill>
                  <pic:spPr>
                    <a:xfrm>
                      <a:off x="0" y="0"/>
                      <a:ext cx="5206651" cy="1694402"/>
                    </a:xfrm>
                    <a:prstGeom prst="rect">
                      <a:avLst/>
                    </a:prstGeom>
                  </pic:spPr>
                </pic:pic>
              </a:graphicData>
            </a:graphic>
          </wp:inline>
        </w:drawing>
      </w:r>
    </w:p>
    <w:p w:rsidR="00DD6719" w:rsidRPr="00DD6719" w:rsidRDefault="00DD6719" w:rsidP="006E3DDA">
      <w:pPr>
        <w:contextualSpacing/>
        <w:rPr>
          <w:rFonts w:eastAsia="Times New Roman" w:cstheme="minorHAnsi"/>
          <w:sz w:val="22"/>
          <w:szCs w:val="22"/>
          <w:lang w:eastAsia="it-IT"/>
        </w:rPr>
      </w:pPr>
    </w:p>
    <w:p w:rsidR="00DD6719" w:rsidRDefault="00FB750C" w:rsidP="006E3DDA">
      <w:pPr>
        <w:autoSpaceDE w:val="0"/>
        <w:autoSpaceDN w:val="0"/>
        <w:adjustRightInd w:val="0"/>
        <w:contextualSpacing/>
        <w:jc w:val="center"/>
        <w:rPr>
          <w:rFonts w:cstheme="minorHAnsi"/>
          <w:sz w:val="22"/>
          <w:szCs w:val="22"/>
        </w:rPr>
      </w:pPr>
      <w:r w:rsidRPr="00FB750C">
        <w:rPr>
          <w:rFonts w:cstheme="minorHAnsi"/>
          <w:sz w:val="22"/>
          <w:szCs w:val="22"/>
        </w:rPr>
        <w:drawing>
          <wp:inline distT="0" distB="0" distL="0" distR="0" wp14:anchorId="7B1DA78B" wp14:editId="5055A984">
            <wp:extent cx="4925085" cy="3682984"/>
            <wp:effectExtent l="0" t="0" r="2540" b="635"/>
            <wp:docPr id="8299309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30980" name=""/>
                    <pic:cNvPicPr/>
                  </pic:nvPicPr>
                  <pic:blipFill>
                    <a:blip r:embed="rId8"/>
                    <a:stretch>
                      <a:fillRect/>
                    </a:stretch>
                  </pic:blipFill>
                  <pic:spPr>
                    <a:xfrm>
                      <a:off x="0" y="0"/>
                      <a:ext cx="4951635" cy="3702838"/>
                    </a:xfrm>
                    <a:prstGeom prst="rect">
                      <a:avLst/>
                    </a:prstGeom>
                  </pic:spPr>
                </pic:pic>
              </a:graphicData>
            </a:graphic>
          </wp:inline>
        </w:drawing>
      </w:r>
    </w:p>
    <w:p w:rsidR="00FB750C" w:rsidRDefault="00FB750C" w:rsidP="006E3DDA">
      <w:pPr>
        <w:autoSpaceDE w:val="0"/>
        <w:autoSpaceDN w:val="0"/>
        <w:adjustRightInd w:val="0"/>
        <w:contextualSpacing/>
        <w:jc w:val="center"/>
        <w:rPr>
          <w:rFonts w:cstheme="minorHAnsi"/>
          <w:sz w:val="22"/>
          <w:szCs w:val="22"/>
        </w:rPr>
      </w:pPr>
    </w:p>
    <w:p w:rsidR="00FB750C" w:rsidRDefault="00FB750C" w:rsidP="006E3DDA">
      <w:pPr>
        <w:autoSpaceDE w:val="0"/>
        <w:autoSpaceDN w:val="0"/>
        <w:adjustRightInd w:val="0"/>
        <w:contextualSpacing/>
        <w:jc w:val="center"/>
        <w:rPr>
          <w:rFonts w:cstheme="minorHAnsi"/>
          <w:sz w:val="22"/>
          <w:szCs w:val="22"/>
        </w:rPr>
      </w:pPr>
    </w:p>
    <w:p w:rsidR="00FB750C" w:rsidRPr="006E3DDA" w:rsidRDefault="00FB750C" w:rsidP="006E3DDA">
      <w:pPr>
        <w:autoSpaceDE w:val="0"/>
        <w:autoSpaceDN w:val="0"/>
        <w:adjustRightInd w:val="0"/>
        <w:contextualSpacing/>
        <w:jc w:val="center"/>
        <w:rPr>
          <w:rFonts w:cstheme="minorHAnsi"/>
          <w:sz w:val="22"/>
          <w:szCs w:val="22"/>
        </w:rPr>
      </w:pPr>
      <w:r w:rsidRPr="00FB750C">
        <w:rPr>
          <w:rFonts w:cstheme="minorHAnsi"/>
          <w:sz w:val="22"/>
          <w:szCs w:val="22"/>
        </w:rPr>
        <w:drawing>
          <wp:inline distT="0" distB="0" distL="0" distR="0" wp14:anchorId="2414147F" wp14:editId="3783F122">
            <wp:extent cx="4888871" cy="3425949"/>
            <wp:effectExtent l="0" t="0" r="635" b="3175"/>
            <wp:docPr id="39065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556" name=""/>
                    <pic:cNvPicPr/>
                  </pic:nvPicPr>
                  <pic:blipFill>
                    <a:blip r:embed="rId9"/>
                    <a:stretch>
                      <a:fillRect/>
                    </a:stretch>
                  </pic:blipFill>
                  <pic:spPr>
                    <a:xfrm>
                      <a:off x="0" y="0"/>
                      <a:ext cx="4914210" cy="3443706"/>
                    </a:xfrm>
                    <a:prstGeom prst="rect">
                      <a:avLst/>
                    </a:prstGeom>
                  </pic:spPr>
                </pic:pic>
              </a:graphicData>
            </a:graphic>
          </wp:inline>
        </w:drawing>
      </w:r>
    </w:p>
    <w:sectPr w:rsidR="00FB750C" w:rsidRPr="006E3DDA" w:rsidSect="00CC403A">
      <w:headerReference w:type="default" r:id="rId1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2EF7" w:rsidRDefault="00542EF7" w:rsidP="00CF08BE">
      <w:r>
        <w:separator/>
      </w:r>
    </w:p>
  </w:endnote>
  <w:endnote w:type="continuationSeparator" w:id="0">
    <w:p w:rsidR="00542EF7" w:rsidRDefault="00542EF7" w:rsidP="00CF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2EF7" w:rsidRDefault="00542EF7" w:rsidP="00CF08BE">
      <w:r>
        <w:separator/>
      </w:r>
    </w:p>
  </w:footnote>
  <w:footnote w:type="continuationSeparator" w:id="0">
    <w:p w:rsidR="00542EF7" w:rsidRDefault="00542EF7" w:rsidP="00CF0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06D7" w:rsidRDefault="006C041A" w:rsidP="00BF06D7">
    <w:pPr>
      <w:pStyle w:val="Intestazione"/>
      <w:jc w:val="center"/>
      <w:rPr>
        <w:rFonts w:ascii="Times New Roman" w:hAnsi="Times New Roman" w:cs="Times New Roman"/>
        <w:i/>
        <w:sz w:val="18"/>
        <w:szCs w:val="18"/>
      </w:rPr>
    </w:pPr>
    <w:r w:rsidRPr="006C041A">
      <w:rPr>
        <w:rFonts w:ascii="Times New Roman" w:hAnsi="Times New Roman" w:cs="Times New Roman"/>
        <w:i/>
        <w:noProof/>
        <w:sz w:val="18"/>
        <w:szCs w:val="18"/>
      </w:rPr>
      <w:drawing>
        <wp:inline distT="0" distB="0" distL="0" distR="0" wp14:anchorId="3E0F9307" wp14:editId="62BAA08D">
          <wp:extent cx="1113576" cy="563895"/>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03682" cy="609523"/>
                  </a:xfrm>
                  <a:prstGeom prst="rect">
                    <a:avLst/>
                  </a:prstGeom>
                </pic:spPr>
              </pic:pic>
            </a:graphicData>
          </a:graphic>
        </wp:inline>
      </w:drawing>
    </w:r>
  </w:p>
  <w:p w:rsidR="00BF06D7" w:rsidRPr="006C041A" w:rsidRDefault="00BF06D7" w:rsidP="00BF06D7">
    <w:pPr>
      <w:pStyle w:val="Intestazione"/>
      <w:jc w:val="center"/>
      <w:rPr>
        <w:rFonts w:ascii="Times New Roman" w:hAnsi="Times New Roman" w:cs="Times New Roman"/>
        <w:i/>
        <w:sz w:val="16"/>
        <w:szCs w:val="16"/>
      </w:rPr>
    </w:pPr>
    <w:r w:rsidRPr="006C041A">
      <w:rPr>
        <w:rFonts w:ascii="Times New Roman" w:hAnsi="Times New Roman" w:cs="Times New Roman"/>
        <w:i/>
        <w:sz w:val="16"/>
        <w:szCs w:val="16"/>
      </w:rPr>
      <w:t xml:space="preserve">Medaglia d’oro </w:t>
    </w:r>
    <w:r w:rsidR="00935339" w:rsidRPr="006C041A">
      <w:rPr>
        <w:rFonts w:ascii="Times New Roman" w:hAnsi="Times New Roman" w:cs="Times New Roman"/>
        <w:i/>
        <w:sz w:val="16"/>
        <w:szCs w:val="16"/>
      </w:rPr>
      <w:t>al Merito C</w:t>
    </w:r>
    <w:r w:rsidRPr="006C041A">
      <w:rPr>
        <w:rFonts w:ascii="Times New Roman" w:hAnsi="Times New Roman" w:cs="Times New Roman"/>
        <w:i/>
        <w:sz w:val="16"/>
        <w:szCs w:val="16"/>
      </w:rPr>
      <w:t>ivile</w:t>
    </w:r>
  </w:p>
  <w:p w:rsidR="00BF06D7" w:rsidRDefault="00BF06D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35365"/>
    <w:multiLevelType w:val="multilevel"/>
    <w:tmpl w:val="262E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C41947"/>
    <w:multiLevelType w:val="hybridMultilevel"/>
    <w:tmpl w:val="46F218F4"/>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num w:numId="1" w16cid:durableId="502159309">
    <w:abstractNumId w:val="1"/>
  </w:num>
  <w:num w:numId="2" w16cid:durableId="326255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719"/>
    <w:rsid w:val="00003B1B"/>
    <w:rsid w:val="00066254"/>
    <w:rsid w:val="00077246"/>
    <w:rsid w:val="000823C5"/>
    <w:rsid w:val="000C62D2"/>
    <w:rsid w:val="000D0624"/>
    <w:rsid w:val="000F2EE7"/>
    <w:rsid w:val="000F3A95"/>
    <w:rsid w:val="001329DD"/>
    <w:rsid w:val="00150ED6"/>
    <w:rsid w:val="001A164B"/>
    <w:rsid w:val="001A2F09"/>
    <w:rsid w:val="001D1FFC"/>
    <w:rsid w:val="00203B81"/>
    <w:rsid w:val="00214E15"/>
    <w:rsid w:val="002234F1"/>
    <w:rsid w:val="00225FE0"/>
    <w:rsid w:val="0024469F"/>
    <w:rsid w:val="002503EF"/>
    <w:rsid w:val="002631E8"/>
    <w:rsid w:val="002964BE"/>
    <w:rsid w:val="002B674B"/>
    <w:rsid w:val="002F4CAB"/>
    <w:rsid w:val="0033302D"/>
    <w:rsid w:val="003424FE"/>
    <w:rsid w:val="00343682"/>
    <w:rsid w:val="0035432A"/>
    <w:rsid w:val="003711CD"/>
    <w:rsid w:val="003A6E3D"/>
    <w:rsid w:val="003B2C97"/>
    <w:rsid w:val="004B5888"/>
    <w:rsid w:val="005153C6"/>
    <w:rsid w:val="00531BE2"/>
    <w:rsid w:val="0053381E"/>
    <w:rsid w:val="00537875"/>
    <w:rsid w:val="00542EF7"/>
    <w:rsid w:val="00561345"/>
    <w:rsid w:val="005666DD"/>
    <w:rsid w:val="005C02DD"/>
    <w:rsid w:val="006023DA"/>
    <w:rsid w:val="00613C7C"/>
    <w:rsid w:val="00621E44"/>
    <w:rsid w:val="00633D08"/>
    <w:rsid w:val="0063607F"/>
    <w:rsid w:val="006B4D1A"/>
    <w:rsid w:val="006C041A"/>
    <w:rsid w:val="006E3DDA"/>
    <w:rsid w:val="00705787"/>
    <w:rsid w:val="00730267"/>
    <w:rsid w:val="00814A76"/>
    <w:rsid w:val="00814DF2"/>
    <w:rsid w:val="008243F9"/>
    <w:rsid w:val="00825163"/>
    <w:rsid w:val="008719AD"/>
    <w:rsid w:val="00877505"/>
    <w:rsid w:val="008819EC"/>
    <w:rsid w:val="008845AE"/>
    <w:rsid w:val="008F62E6"/>
    <w:rsid w:val="00935339"/>
    <w:rsid w:val="00962F71"/>
    <w:rsid w:val="00996277"/>
    <w:rsid w:val="009F6883"/>
    <w:rsid w:val="00A10FAD"/>
    <w:rsid w:val="00A43C5D"/>
    <w:rsid w:val="00A72FEC"/>
    <w:rsid w:val="00A90939"/>
    <w:rsid w:val="00A9398F"/>
    <w:rsid w:val="00AA0652"/>
    <w:rsid w:val="00AD6926"/>
    <w:rsid w:val="00B15C4D"/>
    <w:rsid w:val="00B27788"/>
    <w:rsid w:val="00B373EE"/>
    <w:rsid w:val="00B52E0F"/>
    <w:rsid w:val="00B54317"/>
    <w:rsid w:val="00B90C1A"/>
    <w:rsid w:val="00B9589B"/>
    <w:rsid w:val="00B96FDA"/>
    <w:rsid w:val="00BA38DA"/>
    <w:rsid w:val="00BB11C6"/>
    <w:rsid w:val="00BD0A6A"/>
    <w:rsid w:val="00BF06D7"/>
    <w:rsid w:val="00C47C5D"/>
    <w:rsid w:val="00C61526"/>
    <w:rsid w:val="00C85FB8"/>
    <w:rsid w:val="00CB6DE4"/>
    <w:rsid w:val="00CC403A"/>
    <w:rsid w:val="00CC7BAA"/>
    <w:rsid w:val="00CF08BE"/>
    <w:rsid w:val="00D07C2D"/>
    <w:rsid w:val="00D50262"/>
    <w:rsid w:val="00D6119D"/>
    <w:rsid w:val="00D74EA5"/>
    <w:rsid w:val="00D75FEA"/>
    <w:rsid w:val="00D87B43"/>
    <w:rsid w:val="00DA0A7E"/>
    <w:rsid w:val="00DA45FB"/>
    <w:rsid w:val="00DD3047"/>
    <w:rsid w:val="00DD6719"/>
    <w:rsid w:val="00E567A2"/>
    <w:rsid w:val="00EB1A4C"/>
    <w:rsid w:val="00EC050F"/>
    <w:rsid w:val="00EC2260"/>
    <w:rsid w:val="00EE1C0B"/>
    <w:rsid w:val="00EF2406"/>
    <w:rsid w:val="00F34D6A"/>
    <w:rsid w:val="00F70C11"/>
    <w:rsid w:val="00F941F6"/>
    <w:rsid w:val="00FB750C"/>
    <w:rsid w:val="00FE4088"/>
    <w:rsid w:val="00FF5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E6D47"/>
  <w15:docId w15:val="{BB26B6A2-3441-B248-A586-F4C1F40B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0A7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F08BE"/>
    <w:pPr>
      <w:tabs>
        <w:tab w:val="center" w:pos="4819"/>
        <w:tab w:val="right" w:pos="9638"/>
      </w:tabs>
    </w:pPr>
  </w:style>
  <w:style w:type="character" w:customStyle="1" w:styleId="IntestazioneCarattere">
    <w:name w:val="Intestazione Carattere"/>
    <w:basedOn w:val="Carpredefinitoparagrafo"/>
    <w:link w:val="Intestazione"/>
    <w:uiPriority w:val="99"/>
    <w:rsid w:val="00CF08BE"/>
  </w:style>
  <w:style w:type="paragraph" w:styleId="Pidipagina">
    <w:name w:val="footer"/>
    <w:basedOn w:val="Normale"/>
    <w:link w:val="PidipaginaCarattere"/>
    <w:uiPriority w:val="99"/>
    <w:unhideWhenUsed/>
    <w:rsid w:val="00CF08BE"/>
    <w:pPr>
      <w:tabs>
        <w:tab w:val="center" w:pos="4819"/>
        <w:tab w:val="right" w:pos="9638"/>
      </w:tabs>
    </w:pPr>
  </w:style>
  <w:style w:type="character" w:customStyle="1" w:styleId="PidipaginaCarattere">
    <w:name w:val="Piè di pagina Carattere"/>
    <w:basedOn w:val="Carpredefinitoparagrafo"/>
    <w:link w:val="Pidipagina"/>
    <w:uiPriority w:val="99"/>
    <w:rsid w:val="00CF08BE"/>
  </w:style>
  <w:style w:type="paragraph" w:styleId="Testofumetto">
    <w:name w:val="Balloon Text"/>
    <w:basedOn w:val="Normale"/>
    <w:link w:val="TestofumettoCarattere"/>
    <w:uiPriority w:val="99"/>
    <w:semiHidden/>
    <w:unhideWhenUsed/>
    <w:rsid w:val="000F2EE7"/>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F2EE7"/>
    <w:rPr>
      <w:rFonts w:ascii="Times New Roman" w:hAnsi="Times New Roman" w:cs="Times New Roman"/>
      <w:sz w:val="18"/>
      <w:szCs w:val="18"/>
    </w:rPr>
  </w:style>
  <w:style w:type="character" w:styleId="Collegamentoipertestuale">
    <w:name w:val="Hyperlink"/>
    <w:basedOn w:val="Carpredefinitoparagrafo"/>
    <w:uiPriority w:val="99"/>
    <w:unhideWhenUsed/>
    <w:rsid w:val="00203B81"/>
    <w:rPr>
      <w:color w:val="0563C1" w:themeColor="hyperlink"/>
      <w:u w:val="single"/>
    </w:rPr>
  </w:style>
  <w:style w:type="paragraph" w:styleId="Paragrafoelenco">
    <w:name w:val="List Paragraph"/>
    <w:basedOn w:val="Normale"/>
    <w:uiPriority w:val="34"/>
    <w:qFormat/>
    <w:rsid w:val="00BF06D7"/>
    <w:pPr>
      <w:ind w:left="720"/>
      <w:contextualSpacing/>
    </w:pPr>
  </w:style>
  <w:style w:type="paragraph" w:styleId="NormaleWeb">
    <w:name w:val="Normal (Web)"/>
    <w:basedOn w:val="Normale"/>
    <w:uiPriority w:val="99"/>
    <w:semiHidden/>
    <w:unhideWhenUsed/>
    <w:rsid w:val="00DD6719"/>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038342">
      <w:bodyDiv w:val="1"/>
      <w:marLeft w:val="0"/>
      <w:marRight w:val="0"/>
      <w:marTop w:val="0"/>
      <w:marBottom w:val="0"/>
      <w:divBdr>
        <w:top w:val="none" w:sz="0" w:space="0" w:color="auto"/>
        <w:left w:val="none" w:sz="0" w:space="0" w:color="auto"/>
        <w:bottom w:val="none" w:sz="0" w:space="0" w:color="auto"/>
        <w:right w:val="none" w:sz="0" w:space="0" w:color="auto"/>
      </w:divBdr>
      <w:divsChild>
        <w:div w:id="46418713">
          <w:marLeft w:val="0"/>
          <w:marRight w:val="0"/>
          <w:marTop w:val="0"/>
          <w:marBottom w:val="0"/>
          <w:divBdr>
            <w:top w:val="none" w:sz="0" w:space="0" w:color="auto"/>
            <w:left w:val="none" w:sz="0" w:space="0" w:color="auto"/>
            <w:bottom w:val="none" w:sz="0" w:space="0" w:color="auto"/>
            <w:right w:val="none" w:sz="0" w:space="0" w:color="auto"/>
          </w:divBdr>
          <w:divsChild>
            <w:div w:id="1384521540">
              <w:marLeft w:val="0"/>
              <w:marRight w:val="0"/>
              <w:marTop w:val="0"/>
              <w:marBottom w:val="0"/>
              <w:divBdr>
                <w:top w:val="none" w:sz="0" w:space="0" w:color="auto"/>
                <w:left w:val="none" w:sz="0" w:space="0" w:color="auto"/>
                <w:bottom w:val="none" w:sz="0" w:space="0" w:color="auto"/>
                <w:right w:val="none" w:sz="0" w:space="0" w:color="auto"/>
              </w:divBdr>
              <w:divsChild>
                <w:div w:id="514149533">
                  <w:marLeft w:val="0"/>
                  <w:marRight w:val="0"/>
                  <w:marTop w:val="0"/>
                  <w:marBottom w:val="0"/>
                  <w:divBdr>
                    <w:top w:val="none" w:sz="0" w:space="0" w:color="auto"/>
                    <w:left w:val="none" w:sz="0" w:space="0" w:color="auto"/>
                    <w:bottom w:val="none" w:sz="0" w:space="0" w:color="auto"/>
                    <w:right w:val="none" w:sz="0" w:space="0" w:color="auto"/>
                  </w:divBdr>
                </w:div>
              </w:divsChild>
            </w:div>
            <w:div w:id="1991326047">
              <w:marLeft w:val="0"/>
              <w:marRight w:val="0"/>
              <w:marTop w:val="0"/>
              <w:marBottom w:val="0"/>
              <w:divBdr>
                <w:top w:val="none" w:sz="0" w:space="0" w:color="auto"/>
                <w:left w:val="none" w:sz="0" w:space="0" w:color="auto"/>
                <w:bottom w:val="none" w:sz="0" w:space="0" w:color="auto"/>
                <w:right w:val="none" w:sz="0" w:space="0" w:color="auto"/>
              </w:divBdr>
              <w:divsChild>
                <w:div w:id="20034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4525">
          <w:marLeft w:val="0"/>
          <w:marRight w:val="0"/>
          <w:marTop w:val="0"/>
          <w:marBottom w:val="0"/>
          <w:divBdr>
            <w:top w:val="none" w:sz="0" w:space="0" w:color="auto"/>
            <w:left w:val="none" w:sz="0" w:space="0" w:color="auto"/>
            <w:bottom w:val="none" w:sz="0" w:space="0" w:color="auto"/>
            <w:right w:val="none" w:sz="0" w:space="0" w:color="auto"/>
          </w:divBdr>
          <w:divsChild>
            <w:div w:id="1708606333">
              <w:marLeft w:val="0"/>
              <w:marRight w:val="0"/>
              <w:marTop w:val="0"/>
              <w:marBottom w:val="0"/>
              <w:divBdr>
                <w:top w:val="none" w:sz="0" w:space="0" w:color="auto"/>
                <w:left w:val="none" w:sz="0" w:space="0" w:color="auto"/>
                <w:bottom w:val="none" w:sz="0" w:space="0" w:color="auto"/>
                <w:right w:val="none" w:sz="0" w:space="0" w:color="auto"/>
              </w:divBdr>
              <w:divsChild>
                <w:div w:id="1844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632">
          <w:marLeft w:val="0"/>
          <w:marRight w:val="0"/>
          <w:marTop w:val="0"/>
          <w:marBottom w:val="0"/>
          <w:divBdr>
            <w:top w:val="none" w:sz="0" w:space="0" w:color="auto"/>
            <w:left w:val="none" w:sz="0" w:space="0" w:color="auto"/>
            <w:bottom w:val="none" w:sz="0" w:space="0" w:color="auto"/>
            <w:right w:val="none" w:sz="0" w:space="0" w:color="auto"/>
          </w:divBdr>
          <w:divsChild>
            <w:div w:id="640614550">
              <w:marLeft w:val="0"/>
              <w:marRight w:val="0"/>
              <w:marTop w:val="0"/>
              <w:marBottom w:val="0"/>
              <w:divBdr>
                <w:top w:val="none" w:sz="0" w:space="0" w:color="auto"/>
                <w:left w:val="none" w:sz="0" w:space="0" w:color="auto"/>
                <w:bottom w:val="none" w:sz="0" w:space="0" w:color="auto"/>
                <w:right w:val="none" w:sz="0" w:space="0" w:color="auto"/>
              </w:divBdr>
              <w:divsChild>
                <w:div w:id="1477529970">
                  <w:marLeft w:val="0"/>
                  <w:marRight w:val="0"/>
                  <w:marTop w:val="0"/>
                  <w:marBottom w:val="0"/>
                  <w:divBdr>
                    <w:top w:val="none" w:sz="0" w:space="0" w:color="auto"/>
                    <w:left w:val="none" w:sz="0" w:space="0" w:color="auto"/>
                    <w:bottom w:val="none" w:sz="0" w:space="0" w:color="auto"/>
                    <w:right w:val="none" w:sz="0" w:space="0" w:color="auto"/>
                  </w:divBdr>
                </w:div>
              </w:divsChild>
            </w:div>
            <w:div w:id="1403983532">
              <w:marLeft w:val="0"/>
              <w:marRight w:val="0"/>
              <w:marTop w:val="0"/>
              <w:marBottom w:val="0"/>
              <w:divBdr>
                <w:top w:val="none" w:sz="0" w:space="0" w:color="auto"/>
                <w:left w:val="none" w:sz="0" w:space="0" w:color="auto"/>
                <w:bottom w:val="none" w:sz="0" w:space="0" w:color="auto"/>
                <w:right w:val="none" w:sz="0" w:space="0" w:color="auto"/>
              </w:divBdr>
              <w:divsChild>
                <w:div w:id="204217555">
                  <w:marLeft w:val="0"/>
                  <w:marRight w:val="0"/>
                  <w:marTop w:val="0"/>
                  <w:marBottom w:val="0"/>
                  <w:divBdr>
                    <w:top w:val="none" w:sz="0" w:space="0" w:color="auto"/>
                    <w:left w:val="none" w:sz="0" w:space="0" w:color="auto"/>
                    <w:bottom w:val="none" w:sz="0" w:space="0" w:color="auto"/>
                    <w:right w:val="none" w:sz="0" w:space="0" w:color="auto"/>
                  </w:divBdr>
                </w:div>
              </w:divsChild>
            </w:div>
            <w:div w:id="378287129">
              <w:marLeft w:val="0"/>
              <w:marRight w:val="0"/>
              <w:marTop w:val="0"/>
              <w:marBottom w:val="0"/>
              <w:divBdr>
                <w:top w:val="none" w:sz="0" w:space="0" w:color="auto"/>
                <w:left w:val="none" w:sz="0" w:space="0" w:color="auto"/>
                <w:bottom w:val="none" w:sz="0" w:space="0" w:color="auto"/>
                <w:right w:val="none" w:sz="0" w:space="0" w:color="auto"/>
              </w:divBdr>
              <w:divsChild>
                <w:div w:id="1184437153">
                  <w:marLeft w:val="0"/>
                  <w:marRight w:val="0"/>
                  <w:marTop w:val="0"/>
                  <w:marBottom w:val="0"/>
                  <w:divBdr>
                    <w:top w:val="none" w:sz="0" w:space="0" w:color="auto"/>
                    <w:left w:val="none" w:sz="0" w:space="0" w:color="auto"/>
                    <w:bottom w:val="none" w:sz="0" w:space="0" w:color="auto"/>
                    <w:right w:val="none" w:sz="0" w:space="0" w:color="auto"/>
                  </w:divBdr>
                </w:div>
              </w:divsChild>
            </w:div>
            <w:div w:id="2005620266">
              <w:marLeft w:val="0"/>
              <w:marRight w:val="0"/>
              <w:marTop w:val="0"/>
              <w:marBottom w:val="0"/>
              <w:divBdr>
                <w:top w:val="none" w:sz="0" w:space="0" w:color="auto"/>
                <w:left w:val="none" w:sz="0" w:space="0" w:color="auto"/>
                <w:bottom w:val="none" w:sz="0" w:space="0" w:color="auto"/>
                <w:right w:val="none" w:sz="0" w:space="0" w:color="auto"/>
              </w:divBdr>
              <w:divsChild>
                <w:div w:id="1264611172">
                  <w:marLeft w:val="0"/>
                  <w:marRight w:val="0"/>
                  <w:marTop w:val="0"/>
                  <w:marBottom w:val="0"/>
                  <w:divBdr>
                    <w:top w:val="none" w:sz="0" w:space="0" w:color="auto"/>
                    <w:left w:val="none" w:sz="0" w:space="0" w:color="auto"/>
                    <w:bottom w:val="none" w:sz="0" w:space="0" w:color="auto"/>
                    <w:right w:val="none" w:sz="0" w:space="0" w:color="auto"/>
                  </w:divBdr>
                </w:div>
              </w:divsChild>
            </w:div>
            <w:div w:id="11498503">
              <w:marLeft w:val="0"/>
              <w:marRight w:val="0"/>
              <w:marTop w:val="0"/>
              <w:marBottom w:val="0"/>
              <w:divBdr>
                <w:top w:val="none" w:sz="0" w:space="0" w:color="auto"/>
                <w:left w:val="none" w:sz="0" w:space="0" w:color="auto"/>
                <w:bottom w:val="none" w:sz="0" w:space="0" w:color="auto"/>
                <w:right w:val="none" w:sz="0" w:space="0" w:color="auto"/>
              </w:divBdr>
              <w:divsChild>
                <w:div w:id="558512609">
                  <w:marLeft w:val="0"/>
                  <w:marRight w:val="0"/>
                  <w:marTop w:val="0"/>
                  <w:marBottom w:val="0"/>
                  <w:divBdr>
                    <w:top w:val="none" w:sz="0" w:space="0" w:color="auto"/>
                    <w:left w:val="none" w:sz="0" w:space="0" w:color="auto"/>
                    <w:bottom w:val="none" w:sz="0" w:space="0" w:color="auto"/>
                    <w:right w:val="none" w:sz="0" w:space="0" w:color="auto"/>
                  </w:divBdr>
                </w:div>
              </w:divsChild>
            </w:div>
            <w:div w:id="888766078">
              <w:marLeft w:val="0"/>
              <w:marRight w:val="0"/>
              <w:marTop w:val="0"/>
              <w:marBottom w:val="0"/>
              <w:divBdr>
                <w:top w:val="none" w:sz="0" w:space="0" w:color="auto"/>
                <w:left w:val="none" w:sz="0" w:space="0" w:color="auto"/>
                <w:bottom w:val="none" w:sz="0" w:space="0" w:color="auto"/>
                <w:right w:val="none" w:sz="0" w:space="0" w:color="auto"/>
              </w:divBdr>
              <w:divsChild>
                <w:div w:id="1291088849">
                  <w:marLeft w:val="0"/>
                  <w:marRight w:val="0"/>
                  <w:marTop w:val="0"/>
                  <w:marBottom w:val="0"/>
                  <w:divBdr>
                    <w:top w:val="none" w:sz="0" w:space="0" w:color="auto"/>
                    <w:left w:val="none" w:sz="0" w:space="0" w:color="auto"/>
                    <w:bottom w:val="none" w:sz="0" w:space="0" w:color="auto"/>
                    <w:right w:val="none" w:sz="0" w:space="0" w:color="auto"/>
                  </w:divBdr>
                </w:div>
              </w:divsChild>
            </w:div>
            <w:div w:id="725376815">
              <w:marLeft w:val="0"/>
              <w:marRight w:val="0"/>
              <w:marTop w:val="0"/>
              <w:marBottom w:val="0"/>
              <w:divBdr>
                <w:top w:val="none" w:sz="0" w:space="0" w:color="auto"/>
                <w:left w:val="none" w:sz="0" w:space="0" w:color="auto"/>
                <w:bottom w:val="none" w:sz="0" w:space="0" w:color="auto"/>
                <w:right w:val="none" w:sz="0" w:space="0" w:color="auto"/>
              </w:divBdr>
              <w:divsChild>
                <w:div w:id="1439787580">
                  <w:marLeft w:val="0"/>
                  <w:marRight w:val="0"/>
                  <w:marTop w:val="0"/>
                  <w:marBottom w:val="0"/>
                  <w:divBdr>
                    <w:top w:val="none" w:sz="0" w:space="0" w:color="auto"/>
                    <w:left w:val="none" w:sz="0" w:space="0" w:color="auto"/>
                    <w:bottom w:val="none" w:sz="0" w:space="0" w:color="auto"/>
                    <w:right w:val="none" w:sz="0" w:space="0" w:color="auto"/>
                  </w:divBdr>
                </w:div>
              </w:divsChild>
            </w:div>
            <w:div w:id="2086561550">
              <w:marLeft w:val="0"/>
              <w:marRight w:val="0"/>
              <w:marTop w:val="0"/>
              <w:marBottom w:val="0"/>
              <w:divBdr>
                <w:top w:val="none" w:sz="0" w:space="0" w:color="auto"/>
                <w:left w:val="none" w:sz="0" w:space="0" w:color="auto"/>
                <w:bottom w:val="none" w:sz="0" w:space="0" w:color="auto"/>
                <w:right w:val="none" w:sz="0" w:space="0" w:color="auto"/>
              </w:divBdr>
              <w:divsChild>
                <w:div w:id="637030969">
                  <w:marLeft w:val="0"/>
                  <w:marRight w:val="0"/>
                  <w:marTop w:val="0"/>
                  <w:marBottom w:val="0"/>
                  <w:divBdr>
                    <w:top w:val="none" w:sz="0" w:space="0" w:color="auto"/>
                    <w:left w:val="none" w:sz="0" w:space="0" w:color="auto"/>
                    <w:bottom w:val="none" w:sz="0" w:space="0" w:color="auto"/>
                    <w:right w:val="none" w:sz="0" w:space="0" w:color="auto"/>
                  </w:divBdr>
                </w:div>
              </w:divsChild>
            </w:div>
            <w:div w:id="1270895633">
              <w:marLeft w:val="0"/>
              <w:marRight w:val="0"/>
              <w:marTop w:val="0"/>
              <w:marBottom w:val="0"/>
              <w:divBdr>
                <w:top w:val="none" w:sz="0" w:space="0" w:color="auto"/>
                <w:left w:val="none" w:sz="0" w:space="0" w:color="auto"/>
                <w:bottom w:val="none" w:sz="0" w:space="0" w:color="auto"/>
                <w:right w:val="none" w:sz="0" w:space="0" w:color="auto"/>
              </w:divBdr>
              <w:divsChild>
                <w:div w:id="742340417">
                  <w:marLeft w:val="0"/>
                  <w:marRight w:val="0"/>
                  <w:marTop w:val="0"/>
                  <w:marBottom w:val="0"/>
                  <w:divBdr>
                    <w:top w:val="none" w:sz="0" w:space="0" w:color="auto"/>
                    <w:left w:val="none" w:sz="0" w:space="0" w:color="auto"/>
                    <w:bottom w:val="none" w:sz="0" w:space="0" w:color="auto"/>
                    <w:right w:val="none" w:sz="0" w:space="0" w:color="auto"/>
                  </w:divBdr>
                </w:div>
              </w:divsChild>
            </w:div>
            <w:div w:id="1305549725">
              <w:marLeft w:val="0"/>
              <w:marRight w:val="0"/>
              <w:marTop w:val="0"/>
              <w:marBottom w:val="0"/>
              <w:divBdr>
                <w:top w:val="none" w:sz="0" w:space="0" w:color="auto"/>
                <w:left w:val="none" w:sz="0" w:space="0" w:color="auto"/>
                <w:bottom w:val="none" w:sz="0" w:space="0" w:color="auto"/>
                <w:right w:val="none" w:sz="0" w:space="0" w:color="auto"/>
              </w:divBdr>
              <w:divsChild>
                <w:div w:id="1129277659">
                  <w:marLeft w:val="0"/>
                  <w:marRight w:val="0"/>
                  <w:marTop w:val="0"/>
                  <w:marBottom w:val="0"/>
                  <w:divBdr>
                    <w:top w:val="none" w:sz="0" w:space="0" w:color="auto"/>
                    <w:left w:val="none" w:sz="0" w:space="0" w:color="auto"/>
                    <w:bottom w:val="none" w:sz="0" w:space="0" w:color="auto"/>
                    <w:right w:val="none" w:sz="0" w:space="0" w:color="auto"/>
                  </w:divBdr>
                </w:div>
              </w:divsChild>
            </w:div>
            <w:div w:id="224999554">
              <w:marLeft w:val="0"/>
              <w:marRight w:val="0"/>
              <w:marTop w:val="0"/>
              <w:marBottom w:val="0"/>
              <w:divBdr>
                <w:top w:val="none" w:sz="0" w:space="0" w:color="auto"/>
                <w:left w:val="none" w:sz="0" w:space="0" w:color="auto"/>
                <w:bottom w:val="none" w:sz="0" w:space="0" w:color="auto"/>
                <w:right w:val="none" w:sz="0" w:space="0" w:color="auto"/>
              </w:divBdr>
              <w:divsChild>
                <w:div w:id="14802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3575">
          <w:marLeft w:val="0"/>
          <w:marRight w:val="0"/>
          <w:marTop w:val="0"/>
          <w:marBottom w:val="0"/>
          <w:divBdr>
            <w:top w:val="none" w:sz="0" w:space="0" w:color="auto"/>
            <w:left w:val="none" w:sz="0" w:space="0" w:color="auto"/>
            <w:bottom w:val="none" w:sz="0" w:space="0" w:color="auto"/>
            <w:right w:val="none" w:sz="0" w:space="0" w:color="auto"/>
          </w:divBdr>
        </w:div>
        <w:div w:id="710613573">
          <w:marLeft w:val="0"/>
          <w:marRight w:val="0"/>
          <w:marTop w:val="0"/>
          <w:marBottom w:val="0"/>
          <w:divBdr>
            <w:top w:val="none" w:sz="0" w:space="0" w:color="auto"/>
            <w:left w:val="none" w:sz="0" w:space="0" w:color="auto"/>
            <w:bottom w:val="none" w:sz="0" w:space="0" w:color="auto"/>
            <w:right w:val="none" w:sz="0" w:space="0" w:color="auto"/>
          </w:divBdr>
        </w:div>
      </w:divsChild>
    </w:div>
    <w:div w:id="1377391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nicadifabio/Library/Group%20Containers/UBF8T346G9.Office/User%20Content.localized/Templates.localized/Carta%20comunicat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comunicato.dotx</Template>
  <TotalTime>16</TotalTime>
  <Pages>2</Pages>
  <Words>655</Words>
  <Characters>3734</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cp:revision>
  <cp:lastPrinted>2022-05-18T11:55:00Z</cp:lastPrinted>
  <dcterms:created xsi:type="dcterms:W3CDTF">2024-06-24T10:58:00Z</dcterms:created>
  <dcterms:modified xsi:type="dcterms:W3CDTF">2024-06-24T12:42:00Z</dcterms:modified>
</cp:coreProperties>
</file>